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6A" w:rsidRPr="008958A7" w:rsidRDefault="006A356A">
      <w:r>
        <w:t xml:space="preserve"> </w:t>
      </w:r>
      <w:r w:rsidRPr="008958A7">
        <w:rPr>
          <w:b/>
          <w:sz w:val="28"/>
          <w:szCs w:val="28"/>
        </w:rPr>
        <w:t xml:space="preserve">Zastupljenost žena kao spoljnih članova u radnim tijelima Općinskog vijeća </w:t>
      </w:r>
    </w:p>
    <w:p w:rsidR="008958A7" w:rsidRDefault="008958A7"/>
    <w:p w:rsidR="008958A7" w:rsidRDefault="008958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826"/>
      </w:tblGrid>
      <w:tr w:rsidR="008958A7" w:rsidRPr="00524983" w:rsidTr="00DF653E">
        <w:trPr>
          <w:trHeight w:val="558"/>
        </w:trPr>
        <w:tc>
          <w:tcPr>
            <w:tcW w:w="562" w:type="dxa"/>
          </w:tcPr>
          <w:p w:rsidR="008958A7" w:rsidRDefault="008958A7" w:rsidP="00DF653E">
            <w:pPr>
              <w:spacing w:before="240"/>
            </w:pPr>
          </w:p>
        </w:tc>
        <w:tc>
          <w:tcPr>
            <w:tcW w:w="3062" w:type="dxa"/>
          </w:tcPr>
          <w:p w:rsidR="008958A7" w:rsidRPr="00524983" w:rsidRDefault="008958A7" w:rsidP="00DF653E">
            <w:pPr>
              <w:spacing w:before="240"/>
              <w:jc w:val="center"/>
              <w:rPr>
                <w:b/>
              </w:rPr>
            </w:pPr>
            <w:r w:rsidRPr="00524983">
              <w:rPr>
                <w:b/>
              </w:rPr>
              <w:t>KOMISIJE</w:t>
            </w:r>
          </w:p>
        </w:tc>
        <w:tc>
          <w:tcPr>
            <w:tcW w:w="1812" w:type="dxa"/>
          </w:tcPr>
          <w:p w:rsidR="008958A7" w:rsidRPr="00524983" w:rsidRDefault="008958A7" w:rsidP="00DF653E">
            <w:pPr>
              <w:spacing w:before="240"/>
              <w:jc w:val="center"/>
              <w:rPr>
                <w:b/>
              </w:rPr>
            </w:pPr>
            <w:r w:rsidRPr="00524983">
              <w:rPr>
                <w:b/>
              </w:rPr>
              <w:t>M</w:t>
            </w:r>
          </w:p>
        </w:tc>
        <w:tc>
          <w:tcPr>
            <w:tcW w:w="1813" w:type="dxa"/>
          </w:tcPr>
          <w:p w:rsidR="008958A7" w:rsidRPr="00524983" w:rsidRDefault="008958A7" w:rsidP="00DF653E">
            <w:pPr>
              <w:spacing w:before="240"/>
              <w:jc w:val="center"/>
              <w:rPr>
                <w:b/>
              </w:rPr>
            </w:pPr>
            <w:r w:rsidRPr="00524983">
              <w:rPr>
                <w:b/>
              </w:rPr>
              <w:t>Ž</w:t>
            </w:r>
          </w:p>
        </w:tc>
        <w:tc>
          <w:tcPr>
            <w:tcW w:w="826" w:type="dxa"/>
          </w:tcPr>
          <w:p w:rsidR="008958A7" w:rsidRPr="00524983" w:rsidRDefault="008958A7" w:rsidP="00DF653E">
            <w:pPr>
              <w:spacing w:before="240"/>
              <w:jc w:val="center"/>
              <w:rPr>
                <w:b/>
              </w:rPr>
            </w:pPr>
            <w:r w:rsidRPr="00524983">
              <w:rPr>
                <w:b/>
              </w:rPr>
              <w:t>%</w:t>
            </w:r>
          </w:p>
        </w:tc>
      </w:tr>
      <w:tr w:rsidR="008958A7" w:rsidTr="00DF653E">
        <w:trPr>
          <w:trHeight w:val="842"/>
        </w:trPr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razriješenju Komisije za budžet i finansije Općinskog vijeća općine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4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1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rPr>
          <w:trHeight w:val="1067"/>
        </w:trPr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2.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razriješenju Komisije za izbor i imenovanja i mandatno imunitetska pitanja Općinskog vijeća općine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5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3.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budžet i finansije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rPr>
          <w:trHeight w:val="945"/>
        </w:trPr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4.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izbor i imenovanja i mandatno-imunitetska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5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5.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privremenog Nadzornog odbora JU «Centar za socijalni rad»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6.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 o imenovanju Etičkog odbora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7.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boračka pitanja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5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8.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lokalnu samoupravu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9.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Komisija za ljudska prava, obrazovanje, kulturu, sport i mlade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10.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odlikovanja i općinska priznanja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5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11.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prostorno uređenje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4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1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12.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statut i propise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4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1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lastRenderedPageBreak/>
              <w:t>13.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Komisije za žalbe u drugom stepenu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1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14.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privremenog Nadzornog odbora JU “Centar za kulturu, sport i informisanje”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15.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privremenog Upravnog odbora JU «Centar za socijalni rad»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16.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predstavnika osnivača sa ovlaštenjima Skupštine Javnog komunalnog preduzeća ,,KOMB“ d.o.o.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4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1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17.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imenovanju privremenog Upravnog odbora JU “Centar za kulturu, sport i informisanje”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1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18.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razriješenju predstavnika osnivača sa ovlaštenjima Skupštine Javnog komunalnog preduzeća ,,KOMB“d.o.o. Buži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4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19.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Rješenje o razrješenju Upravnog odbora JU «Centar za socijalni rad» Bužim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2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c>
          <w:tcPr>
            <w:tcW w:w="562" w:type="dxa"/>
          </w:tcPr>
          <w:p w:rsidR="008958A7" w:rsidRDefault="008958A7" w:rsidP="00DF653E">
            <w:pPr>
              <w:spacing w:before="240"/>
            </w:pPr>
            <w:r>
              <w:t>20.</w:t>
            </w:r>
          </w:p>
        </w:tc>
        <w:tc>
          <w:tcPr>
            <w:tcW w:w="3062" w:type="dxa"/>
          </w:tcPr>
          <w:p w:rsidR="008958A7" w:rsidRDefault="008958A7" w:rsidP="00DF653E">
            <w:pPr>
              <w:spacing w:before="240"/>
            </w:pPr>
            <w:r>
              <w:t>R J E Š E N J E o imenovanju Komisije o primopredaji Službene prostorije Općinskog vijeća</w:t>
            </w:r>
          </w:p>
        </w:tc>
        <w:tc>
          <w:tcPr>
            <w:tcW w:w="1812" w:type="dxa"/>
          </w:tcPr>
          <w:p w:rsidR="008958A7" w:rsidRDefault="008958A7" w:rsidP="00DF653E">
            <w:pPr>
              <w:spacing w:before="240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8958A7" w:rsidRDefault="008958A7" w:rsidP="00DF653E">
            <w:pPr>
              <w:spacing w:before="240"/>
              <w:jc w:val="center"/>
            </w:pPr>
            <w:r>
              <w:t>0</w:t>
            </w:r>
          </w:p>
        </w:tc>
        <w:tc>
          <w:tcPr>
            <w:tcW w:w="826" w:type="dxa"/>
          </w:tcPr>
          <w:p w:rsidR="008958A7" w:rsidRDefault="008958A7" w:rsidP="00DF653E">
            <w:pPr>
              <w:spacing w:before="240"/>
            </w:pPr>
          </w:p>
        </w:tc>
      </w:tr>
      <w:tr w:rsidR="008958A7" w:rsidTr="00DF653E">
        <w:trPr>
          <w:trHeight w:val="60"/>
        </w:trPr>
        <w:tc>
          <w:tcPr>
            <w:tcW w:w="562" w:type="dxa"/>
          </w:tcPr>
          <w:p w:rsidR="008958A7" w:rsidRDefault="008958A7" w:rsidP="00DF653E"/>
        </w:tc>
        <w:tc>
          <w:tcPr>
            <w:tcW w:w="3062" w:type="dxa"/>
          </w:tcPr>
          <w:p w:rsidR="008958A7" w:rsidRPr="00C1311D" w:rsidRDefault="008958A7" w:rsidP="00DF653E">
            <w:pPr>
              <w:jc w:val="center"/>
              <w:rPr>
                <w:b/>
                <w:sz w:val="24"/>
                <w:szCs w:val="24"/>
              </w:rPr>
            </w:pPr>
            <w:r w:rsidRPr="00C1311D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:rsidR="008958A7" w:rsidRPr="00C1311D" w:rsidRDefault="008958A7" w:rsidP="00DF653E">
            <w:pPr>
              <w:jc w:val="center"/>
              <w:rPr>
                <w:b/>
              </w:rPr>
            </w:pPr>
            <w:r w:rsidRPr="00C1311D">
              <w:rPr>
                <w:b/>
              </w:rPr>
              <w:t>67</w:t>
            </w:r>
          </w:p>
        </w:tc>
        <w:tc>
          <w:tcPr>
            <w:tcW w:w="1813" w:type="dxa"/>
          </w:tcPr>
          <w:p w:rsidR="008958A7" w:rsidRPr="00C1311D" w:rsidRDefault="008958A7" w:rsidP="00DF653E">
            <w:pPr>
              <w:jc w:val="center"/>
              <w:rPr>
                <w:b/>
              </w:rPr>
            </w:pPr>
            <w:r w:rsidRPr="00C1311D">
              <w:rPr>
                <w:b/>
              </w:rPr>
              <w:t>22</w:t>
            </w:r>
          </w:p>
        </w:tc>
        <w:tc>
          <w:tcPr>
            <w:tcW w:w="826" w:type="dxa"/>
          </w:tcPr>
          <w:p w:rsidR="008958A7" w:rsidRPr="008958A7" w:rsidRDefault="008958A7" w:rsidP="00DF653E">
            <w:pPr>
              <w:rPr>
                <w:b/>
              </w:rPr>
            </w:pPr>
            <w:r w:rsidRPr="008958A7">
              <w:rPr>
                <w:b/>
              </w:rPr>
              <w:t>32,83</w:t>
            </w:r>
          </w:p>
        </w:tc>
      </w:tr>
    </w:tbl>
    <w:p w:rsidR="008958A7" w:rsidRDefault="008958A7">
      <w:r>
        <w:t xml:space="preserve">  </w:t>
      </w:r>
      <w:bookmarkStart w:id="0" w:name="_GoBack"/>
      <w:bookmarkEnd w:id="0"/>
    </w:p>
    <w:sectPr w:rsidR="0089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55" w:rsidRDefault="00335655" w:rsidP="006A356A">
      <w:pPr>
        <w:spacing w:after="0" w:line="240" w:lineRule="auto"/>
      </w:pPr>
      <w:r>
        <w:separator/>
      </w:r>
    </w:p>
  </w:endnote>
  <w:endnote w:type="continuationSeparator" w:id="0">
    <w:p w:rsidR="00335655" w:rsidRDefault="00335655" w:rsidP="006A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55" w:rsidRDefault="00335655" w:rsidP="006A356A">
      <w:pPr>
        <w:spacing w:after="0" w:line="240" w:lineRule="auto"/>
      </w:pPr>
      <w:r>
        <w:separator/>
      </w:r>
    </w:p>
  </w:footnote>
  <w:footnote w:type="continuationSeparator" w:id="0">
    <w:p w:rsidR="00335655" w:rsidRDefault="00335655" w:rsidP="006A3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3"/>
    <w:rsid w:val="001723F6"/>
    <w:rsid w:val="002B3E38"/>
    <w:rsid w:val="002D6CAF"/>
    <w:rsid w:val="00335655"/>
    <w:rsid w:val="00524983"/>
    <w:rsid w:val="00673494"/>
    <w:rsid w:val="006A356A"/>
    <w:rsid w:val="007505B9"/>
    <w:rsid w:val="007C0F3D"/>
    <w:rsid w:val="008958A7"/>
    <w:rsid w:val="00C1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87EE-C0E4-4714-8631-C153611D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A"/>
  </w:style>
  <w:style w:type="paragraph" w:styleId="Footer">
    <w:name w:val="footer"/>
    <w:basedOn w:val="Normal"/>
    <w:link w:val="FooterChar"/>
    <w:uiPriority w:val="99"/>
    <w:unhideWhenUsed/>
    <w:rsid w:val="006A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6BCA-8F73-4C97-B0F3-613ED638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Nanić Asmira</dc:creator>
  <cp:keywords/>
  <dc:description/>
  <cp:lastModifiedBy>Nanić Asmira</cp:lastModifiedBy>
  <cp:revision>4</cp:revision>
  <dcterms:created xsi:type="dcterms:W3CDTF">2023-03-28T12:59:00Z</dcterms:created>
  <dcterms:modified xsi:type="dcterms:W3CDTF">2023-03-29T09:11:00Z</dcterms:modified>
</cp:coreProperties>
</file>